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3" w:rsidRDefault="00250823" w:rsidP="00250823">
      <w:pPr>
        <w:ind w:left="-851" w:hanging="142"/>
        <w:jc w:val="center"/>
        <w:rPr>
          <w:sz w:val="22"/>
          <w:szCs w:val="22"/>
        </w:rPr>
      </w:pPr>
      <w:r>
        <w:rPr>
          <w:sz w:val="22"/>
          <w:szCs w:val="22"/>
        </w:rPr>
        <w:t>Univerzita Pardubice – Fakulta filoz</w:t>
      </w:r>
      <w:bookmarkStart w:id="0" w:name="_GoBack"/>
      <w:bookmarkEnd w:id="0"/>
      <w:r>
        <w:rPr>
          <w:sz w:val="22"/>
          <w:szCs w:val="22"/>
        </w:rPr>
        <w:t>ofická – KLKS</w:t>
      </w:r>
    </w:p>
    <w:p w:rsidR="00250823" w:rsidRDefault="00250823" w:rsidP="00250823"/>
    <w:p w:rsidR="00250823" w:rsidRDefault="00250823" w:rsidP="00250823">
      <w:pPr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Posudek oponenta bakalářské práce – akademický rok 2015/2016</w:t>
      </w:r>
    </w:p>
    <w:p w:rsidR="00250823" w:rsidRDefault="00250823" w:rsidP="00250823"/>
    <w:p w:rsidR="00250823" w:rsidRDefault="00250823" w:rsidP="00250823">
      <w:pPr>
        <w:snapToGri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Autor práce:  </w:t>
      </w:r>
      <w:r>
        <w:rPr>
          <w:sz w:val="22"/>
          <w:szCs w:val="22"/>
        </w:rPr>
        <w:t xml:space="preserve">Jaroslava </w:t>
      </w:r>
      <w:proofErr w:type="spellStart"/>
      <w:r>
        <w:rPr>
          <w:sz w:val="22"/>
          <w:szCs w:val="22"/>
        </w:rPr>
        <w:t>Daňhová</w:t>
      </w:r>
      <w:proofErr w:type="spellEnd"/>
    </w:p>
    <w:p w:rsidR="00250823" w:rsidRDefault="00250823" w:rsidP="002508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Studijní obor: </w:t>
      </w:r>
      <w:r w:rsidRPr="003172F4">
        <w:rPr>
          <w:b/>
          <w:sz w:val="22"/>
          <w:szCs w:val="22"/>
        </w:rPr>
        <w:t>Historicko-literární studia</w:t>
      </w:r>
    </w:p>
    <w:p w:rsidR="00250823" w:rsidRDefault="00250823" w:rsidP="00233117">
      <w:pPr>
        <w:pStyle w:val="Bezmezer"/>
        <w:rPr>
          <w:sz w:val="22"/>
          <w:szCs w:val="22"/>
          <w:lang w:eastAsia="en-US"/>
        </w:rPr>
      </w:pPr>
      <w:r>
        <w:rPr>
          <w:sz w:val="22"/>
          <w:szCs w:val="22"/>
        </w:rPr>
        <w:t>Název práce</w:t>
      </w:r>
      <w:r w:rsidRPr="00233117">
        <w:rPr>
          <w:sz w:val="22"/>
          <w:szCs w:val="22"/>
        </w:rPr>
        <w:t xml:space="preserve">: </w:t>
      </w:r>
      <w:r w:rsidR="00233117" w:rsidRPr="00233117">
        <w:rPr>
          <w:sz w:val="22"/>
          <w:szCs w:val="22"/>
          <w:lang w:eastAsia="en-US"/>
        </w:rPr>
        <w:t>Internetová Dobrá adresa a literatura v nových médiích</w:t>
      </w:r>
    </w:p>
    <w:p w:rsidR="00233117" w:rsidRDefault="00233117" w:rsidP="00233117">
      <w:pPr>
        <w:pStyle w:val="Bezmezer"/>
        <w:rPr>
          <w:sz w:val="22"/>
          <w:szCs w:val="22"/>
        </w:rPr>
      </w:pPr>
    </w:p>
    <w:p w:rsidR="00250823" w:rsidRDefault="00250823" w:rsidP="002508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Vedoucí práce: </w:t>
      </w:r>
      <w:r w:rsidR="00233117">
        <w:rPr>
          <w:sz w:val="22"/>
          <w:szCs w:val="22"/>
        </w:rPr>
        <w:t>Mgr</w:t>
      </w:r>
      <w:r>
        <w:rPr>
          <w:sz w:val="22"/>
          <w:szCs w:val="22"/>
        </w:rPr>
        <w:t xml:space="preserve">. </w:t>
      </w:r>
      <w:r w:rsidR="00233117">
        <w:rPr>
          <w:sz w:val="22"/>
          <w:szCs w:val="22"/>
        </w:rPr>
        <w:t>Jiří Studený, Ph.D.</w:t>
      </w:r>
    </w:p>
    <w:p w:rsidR="00250823" w:rsidRDefault="00250823" w:rsidP="0025082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Oponent práce: doc. Mgr. Radek Malý, Ph.D.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I. Formulace cílů práce, metodologie</w:t>
      </w:r>
      <w:r>
        <w:rPr>
          <w:sz w:val="22"/>
          <w:szCs w:val="22"/>
        </w:rPr>
        <w:t xml:space="preserve"> </w:t>
      </w: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(adekvátnost formulace cílů, vymezení tématu odpovídající rozsahu BP, adekvátnost zvolené metodologie)</w:t>
      </w:r>
    </w:p>
    <w:p w:rsidR="00250823" w:rsidRDefault="00250823" w:rsidP="00250823">
      <w:pPr>
        <w:rPr>
          <w:sz w:val="22"/>
          <w:szCs w:val="22"/>
        </w:rPr>
      </w:pPr>
    </w:p>
    <w:p w:rsidR="00A857D9" w:rsidRDefault="00A857D9" w:rsidP="00250823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Jaroslava </w:t>
      </w:r>
      <w:proofErr w:type="spellStart"/>
      <w:r>
        <w:rPr>
          <w:sz w:val="22"/>
          <w:szCs w:val="22"/>
        </w:rPr>
        <w:t>Daňhová</w:t>
      </w:r>
      <w:proofErr w:type="spellEnd"/>
      <w:r>
        <w:rPr>
          <w:sz w:val="22"/>
          <w:szCs w:val="22"/>
        </w:rPr>
        <w:t xml:space="preserve"> si zvolila jako téma své bakalářské práce internetový časopis Dobrá adresa. V úvodu píše, že si klade za cíl jej popsat. Spíše okrajově zaznívá i termín „analýza“, který je myslím více </w:t>
      </w:r>
      <w:r w:rsidRPr="00A857D9">
        <w:rPr>
          <w:sz w:val="22"/>
          <w:szCs w:val="22"/>
        </w:rPr>
        <w:t xml:space="preserve">žádoucí než prostá deskripce. Zvolená metodologie je adekvátní, velké rozpaky však vyvolává přiložený dotazník vytvořený nástrojem </w:t>
      </w:r>
      <w:r w:rsidRPr="00A857D9">
        <w:rPr>
          <w:rFonts w:eastAsiaTheme="minorHAnsi"/>
          <w:kern w:val="0"/>
          <w:sz w:val="22"/>
          <w:szCs w:val="22"/>
          <w:lang w:eastAsia="en-US"/>
        </w:rPr>
        <w:t>Dokumenty Google online</w:t>
      </w:r>
      <w:r w:rsidRPr="00A857D9">
        <w:rPr>
          <w:rFonts w:eastAsiaTheme="minorHAnsi"/>
          <w:kern w:val="0"/>
          <w:sz w:val="22"/>
          <w:szCs w:val="22"/>
          <w:lang w:eastAsia="en-US"/>
        </w:rPr>
        <w:t xml:space="preserve"> a šířený bez většího rozmyslu prostřednictvím virtuální sociální sítě </w:t>
      </w:r>
      <w:proofErr w:type="spellStart"/>
      <w:r w:rsidRPr="00A857D9">
        <w:rPr>
          <w:rFonts w:eastAsiaTheme="minorHAnsi"/>
          <w:kern w:val="0"/>
          <w:sz w:val="22"/>
          <w:szCs w:val="22"/>
          <w:lang w:eastAsia="en-US"/>
        </w:rPr>
        <w:t>Facebook</w:t>
      </w:r>
      <w:proofErr w:type="spellEnd"/>
      <w:r w:rsidRPr="00A857D9">
        <w:rPr>
          <w:rFonts w:eastAsiaTheme="minorHAnsi"/>
          <w:kern w:val="0"/>
          <w:sz w:val="22"/>
          <w:szCs w:val="22"/>
          <w:lang w:eastAsia="en-US"/>
        </w:rPr>
        <w:t xml:space="preserve">. Sama autorka na jednom </w:t>
      </w:r>
      <w:proofErr w:type="spellStart"/>
      <w:r w:rsidRPr="00A857D9">
        <w:rPr>
          <w:rFonts w:eastAsiaTheme="minorHAnsi"/>
          <w:kern w:val="0"/>
          <w:sz w:val="22"/>
          <w:szCs w:val="22"/>
          <w:lang w:eastAsia="en-US"/>
        </w:rPr>
        <w:t>místžě</w:t>
      </w:r>
      <w:proofErr w:type="spellEnd"/>
      <w:r w:rsidRPr="00A857D9">
        <w:rPr>
          <w:rFonts w:eastAsiaTheme="minorHAnsi"/>
          <w:kern w:val="0"/>
          <w:sz w:val="22"/>
          <w:szCs w:val="22"/>
          <w:lang w:eastAsia="en-US"/>
        </w:rPr>
        <w:t xml:space="preserve"> přiznává, že takto oslovený vzorek populace není relevantní. Domnívám se, že tato část práce není relevantní vůbec, neboť o ničem nevypovídá – není jasné, kdo byl oslovován a proč právě tato skupina ano a jiná ne, a výsledek, že internetový časopis Dobrá adresa skoro nikdo nezná, se dal při vší úctě předpokládat.</w:t>
      </w:r>
      <w:r>
        <w:rPr>
          <w:rFonts w:eastAsiaTheme="minorHAnsi"/>
          <w:kern w:val="0"/>
          <w:lang w:eastAsia="en-US"/>
        </w:rPr>
        <w:t xml:space="preserve"> </w:t>
      </w:r>
    </w:p>
    <w:p w:rsidR="00250823" w:rsidRDefault="00250823" w:rsidP="00250823">
      <w:pPr>
        <w:jc w:val="both"/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  <w:r>
        <w:rPr>
          <w:rStyle w:val="Znakapoznpodarou1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6"/>
      </w:tblGrid>
      <w:tr w:rsidR="00250823" w:rsidTr="00E67F03">
        <w:trPr>
          <w:trHeight w:val="276"/>
        </w:trPr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b/>
          <w:bCs/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II. Naplnění stanovených cílů</w:t>
      </w:r>
      <w:r>
        <w:rPr>
          <w:sz w:val="22"/>
          <w:szCs w:val="22"/>
        </w:rPr>
        <w:t xml:space="preserve"> </w:t>
      </w: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 xml:space="preserve">(odpovídající zpracování a interpretace výsledků, závěry práce, diskuse práce /porovnání výsledků práce s výsledky dosavadních bádání k tématu/, autorský přínos práce) </w:t>
      </w:r>
    </w:p>
    <w:p w:rsidR="00250823" w:rsidRDefault="00250823" w:rsidP="00250823">
      <w:pPr>
        <w:rPr>
          <w:sz w:val="22"/>
          <w:szCs w:val="22"/>
        </w:rPr>
      </w:pPr>
    </w:p>
    <w:p w:rsidR="00250823" w:rsidRPr="00D127E4" w:rsidRDefault="00250823" w:rsidP="00250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Cíle mohly být z výše uvedených důvodů naplněny pouze částečně. 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7"/>
      </w:tblGrid>
      <w:tr w:rsidR="00250823" w:rsidTr="00E67F03">
        <w:trPr>
          <w:trHeight w:val="27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881E54" w:rsidP="00E67F0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50823" w:rsidRDefault="00250823" w:rsidP="00250823"/>
    <w:p w:rsidR="00250823" w:rsidRDefault="00250823" w:rsidP="00250823">
      <w:pPr>
        <w:ind w:left="-720"/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III. Obsahové zpracování, přístup k řešení, řešení dílčích problémů</w:t>
      </w:r>
      <w:r>
        <w:rPr>
          <w:sz w:val="22"/>
          <w:szCs w:val="22"/>
        </w:rPr>
        <w:t xml:space="preserve"> </w:t>
      </w: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 xml:space="preserve">(struktura a </w:t>
      </w:r>
      <w:proofErr w:type="spellStart"/>
      <w:r>
        <w:rPr>
          <w:sz w:val="22"/>
          <w:szCs w:val="22"/>
        </w:rPr>
        <w:t>koheznost</w:t>
      </w:r>
      <w:proofErr w:type="spellEnd"/>
      <w:r>
        <w:rPr>
          <w:sz w:val="22"/>
          <w:szCs w:val="22"/>
        </w:rPr>
        <w:t xml:space="preserve"> práce, vhled do problematiky, využití relevantních odborných zdrojů, adekvátní pojmový aparát, praktická aplikace teoretického rámce, samostatnost zpracování)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 xml:space="preserve">Autorka se snaží postupovat přehledně a strukturovaně. </w:t>
      </w:r>
      <w:r w:rsidR="00D76FE9">
        <w:rPr>
          <w:sz w:val="22"/>
          <w:szCs w:val="22"/>
        </w:rPr>
        <w:t>Teoretický úvod je poněkud obšírný, ale vzhledem k stále ještě neusazené problematice nových médií nezbytný. Samotná analýza časopisu poněkud překvapivě nepřináší nic překvapivého v podobě zjištění, že tento časopis funguje hlavně na bázi dobrovolnosti a že redakce nemá hlubší pojicí prvek.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7"/>
      </w:tblGrid>
      <w:tr w:rsidR="00250823" w:rsidTr="00E67F03">
        <w:trPr>
          <w:trHeight w:val="27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881E54" w:rsidP="00E67F0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</w:tbl>
    <w:p w:rsidR="00250823" w:rsidRDefault="00250823" w:rsidP="00250823">
      <w:pPr>
        <w:rPr>
          <w:b/>
          <w:bCs/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IV. Formální náležitosti práce a její úprava</w:t>
      </w:r>
      <w:r>
        <w:rPr>
          <w:sz w:val="22"/>
          <w:szCs w:val="22"/>
        </w:rPr>
        <w:t xml:space="preserve"> </w:t>
      </w: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 xml:space="preserve">(jazyková a stylistická úroveň, grafická úprava, dodržení příslušných citačních norem) 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práci se objevují </w:t>
      </w:r>
      <w:r w:rsidR="00881E54">
        <w:rPr>
          <w:sz w:val="22"/>
          <w:szCs w:val="22"/>
        </w:rPr>
        <w:t xml:space="preserve">pouze dílčí </w:t>
      </w:r>
      <w:r>
        <w:rPr>
          <w:sz w:val="22"/>
          <w:szCs w:val="22"/>
        </w:rPr>
        <w:t xml:space="preserve">stylistické </w:t>
      </w:r>
      <w:r w:rsidR="00881E54">
        <w:rPr>
          <w:sz w:val="22"/>
          <w:szCs w:val="22"/>
        </w:rPr>
        <w:t xml:space="preserve">a ortografické </w:t>
      </w:r>
      <w:r>
        <w:rPr>
          <w:sz w:val="22"/>
          <w:szCs w:val="22"/>
        </w:rPr>
        <w:t xml:space="preserve">nedostatky. </w:t>
      </w:r>
      <w:r w:rsidR="00D76FE9">
        <w:rPr>
          <w:sz w:val="22"/>
          <w:szCs w:val="22"/>
        </w:rPr>
        <w:t xml:space="preserve">Poněkud svévolně je </w:t>
      </w:r>
      <w:proofErr w:type="gramStart"/>
      <w:r w:rsidR="00D76FE9">
        <w:rPr>
          <w:sz w:val="22"/>
          <w:szCs w:val="22"/>
        </w:rPr>
        <w:t>nakládáno z uměle</w:t>
      </w:r>
      <w:proofErr w:type="gramEnd"/>
      <w:r w:rsidR="00D76FE9">
        <w:rPr>
          <w:sz w:val="22"/>
          <w:szCs w:val="22"/>
        </w:rPr>
        <w:t xml:space="preserve"> </w:t>
      </w:r>
      <w:proofErr w:type="gramStart"/>
      <w:r w:rsidR="00D76FE9">
        <w:rPr>
          <w:sz w:val="22"/>
          <w:szCs w:val="22"/>
        </w:rPr>
        <w:t>vytvořenou</w:t>
      </w:r>
      <w:proofErr w:type="gramEnd"/>
      <w:r w:rsidR="00D76FE9">
        <w:rPr>
          <w:sz w:val="22"/>
          <w:szCs w:val="22"/>
        </w:rPr>
        <w:t xml:space="preserve"> a podle mě nikoli nezbytnou zkratkou DA pro Dobrou adresu.</w:t>
      </w:r>
    </w:p>
    <w:p w:rsidR="00250823" w:rsidRDefault="00250823" w:rsidP="00250823">
      <w:pPr>
        <w:jc w:val="both"/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7"/>
      </w:tblGrid>
      <w:tr w:rsidR="00250823" w:rsidTr="00E67F03">
        <w:trPr>
          <w:trHeight w:val="27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881E54" w:rsidP="00E67F0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50823" w:rsidRDefault="00250823" w:rsidP="00250823"/>
    <w:p w:rsidR="00250823" w:rsidRDefault="00250823" w:rsidP="00250823">
      <w:pPr>
        <w:rPr>
          <w:b/>
          <w:bCs/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V. Otázky doporučené k rozpravě při obhajobě</w:t>
      </w:r>
      <w:r>
        <w:rPr>
          <w:sz w:val="22"/>
          <w:szCs w:val="22"/>
        </w:rPr>
        <w:t xml:space="preserve"> 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 xml:space="preserve">Jaký byl smysl </w:t>
      </w:r>
      <w:r w:rsidR="00881E54">
        <w:rPr>
          <w:sz w:val="22"/>
          <w:szCs w:val="22"/>
        </w:rPr>
        <w:t xml:space="preserve">dotazníku </w:t>
      </w:r>
      <w:r>
        <w:rPr>
          <w:sz w:val="22"/>
          <w:szCs w:val="22"/>
        </w:rPr>
        <w:t>a co z výsledků podle autorky vyplývá?</w:t>
      </w:r>
      <w:r w:rsidR="00881E54">
        <w:rPr>
          <w:sz w:val="22"/>
          <w:szCs w:val="22"/>
        </w:rPr>
        <w:t xml:space="preserve"> Co by na něm autorka změnila </w:t>
      </w:r>
      <w:proofErr w:type="gramStart"/>
      <w:r w:rsidR="00881E54">
        <w:rPr>
          <w:sz w:val="22"/>
          <w:szCs w:val="22"/>
        </w:rPr>
        <w:t>ve</w:t>
      </w:r>
      <w:proofErr w:type="gramEnd"/>
      <w:r w:rsidR="00881E54">
        <w:rPr>
          <w:sz w:val="22"/>
          <w:szCs w:val="22"/>
        </w:rPr>
        <w:t xml:space="preserve"> světle toho, jaké se jí sešly odpovědi?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VI. Celkové hodnocení</w:t>
      </w:r>
      <w:r>
        <w:rPr>
          <w:sz w:val="22"/>
          <w:szCs w:val="22"/>
        </w:rPr>
        <w:t xml:space="preserve"> (doporučení/nedoporučení k obhajobě)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 xml:space="preserve">Tato práce podle mého názoru splňuje požadavky kladené na bakalářskou práci a </w:t>
      </w:r>
      <w:r w:rsidRPr="00CB265A">
        <w:rPr>
          <w:b/>
          <w:sz w:val="22"/>
          <w:szCs w:val="22"/>
        </w:rPr>
        <w:t>doporučuji ji k obhajobě.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b/>
          <w:bCs/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VII. Návrh klasifikace</w:t>
      </w:r>
      <w:r>
        <w:rPr>
          <w:sz w:val="22"/>
          <w:szCs w:val="22"/>
        </w:rPr>
        <w:t xml:space="preserve"> (podle bodového ohodnocení)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S ohledem na bodové hodnocení (</w:t>
      </w:r>
      <w:r w:rsidR="00881E54">
        <w:rPr>
          <w:sz w:val="22"/>
          <w:szCs w:val="22"/>
        </w:rPr>
        <w:t>11</w:t>
      </w:r>
      <w:r>
        <w:rPr>
          <w:sz w:val="22"/>
          <w:szCs w:val="22"/>
        </w:rPr>
        <w:t xml:space="preserve"> b.) navrhuji klasifikovat předloženou práci stupněm </w:t>
      </w:r>
      <w:r w:rsidR="00881E54" w:rsidRPr="00881E54">
        <w:rPr>
          <w:b/>
          <w:sz w:val="22"/>
          <w:szCs w:val="22"/>
        </w:rPr>
        <w:t>velmi</w:t>
      </w:r>
      <w:r w:rsidR="00881E5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dobře.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datum: 18. 7. 2016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podpis:</w:t>
      </w:r>
    </w:p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>
      <w:pPr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B4C7D96" wp14:editId="707ADCE0">
            <wp:extent cx="1695450" cy="447675"/>
            <wp:effectExtent l="0" t="0" r="0" b="9525"/>
            <wp:docPr id="1" name="Obrázek 1" descr="E782E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782E3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23" w:rsidRDefault="00250823" w:rsidP="002508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50823" w:rsidRDefault="00250823" w:rsidP="00250823">
      <w:pPr>
        <w:rPr>
          <w:sz w:val="20"/>
          <w:szCs w:val="20"/>
        </w:rPr>
      </w:pPr>
    </w:p>
    <w:p w:rsidR="00250823" w:rsidRDefault="00250823" w:rsidP="00250823">
      <w:pPr>
        <w:rPr>
          <w:sz w:val="20"/>
          <w:szCs w:val="20"/>
        </w:rPr>
      </w:pPr>
      <w:r>
        <w:rPr>
          <w:sz w:val="20"/>
          <w:szCs w:val="20"/>
        </w:rPr>
        <w:t xml:space="preserve">Tabulka bodového hodnocení </w:t>
      </w:r>
    </w:p>
    <w:p w:rsidR="00250823" w:rsidRDefault="00250823" w:rsidP="00250823">
      <w:pPr>
        <w:rPr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1092"/>
        <w:gridCol w:w="2221"/>
      </w:tblGrid>
      <w:tr w:rsidR="00250823" w:rsidTr="00E67F03">
        <w:trPr>
          <w:trHeight w:val="276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klasifikace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250823" w:rsidP="00E67F03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podmínka</w:t>
            </w:r>
          </w:p>
        </w:tc>
      </w:tr>
      <w:tr w:rsidR="00250823" w:rsidTr="00E67F03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až 16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výborně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250823" w:rsidTr="00E67F03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až 13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velmi dobře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250823" w:rsidTr="00E67F03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až 10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250823" w:rsidTr="00E67F03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20"/>
                  <w:szCs w:val="20"/>
                </w:rPr>
                <w:t>4 a</w:t>
              </w:r>
            </w:smartTag>
            <w:r>
              <w:rPr>
                <w:sz w:val="20"/>
                <w:szCs w:val="20"/>
              </w:rPr>
              <w:t xml:space="preserve"> méně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nevyhověl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823" w:rsidRDefault="00250823" w:rsidP="00E67F03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 nulová položka </w:t>
            </w:r>
          </w:p>
        </w:tc>
      </w:tr>
    </w:tbl>
    <w:p w:rsidR="00250823" w:rsidRDefault="00250823" w:rsidP="00250823">
      <w:pPr>
        <w:rPr>
          <w:sz w:val="22"/>
          <w:szCs w:val="22"/>
        </w:rPr>
      </w:pPr>
    </w:p>
    <w:p w:rsidR="00250823" w:rsidRDefault="00250823" w:rsidP="00250823"/>
    <w:p w:rsidR="00250823" w:rsidRDefault="00250823" w:rsidP="00250823"/>
    <w:p w:rsidR="003F0E1E" w:rsidRDefault="00250823" w:rsidP="00250823">
      <w:pPr>
        <w:tabs>
          <w:tab w:val="left" w:pos="3345"/>
        </w:tabs>
      </w:pPr>
      <w:r>
        <w:tab/>
      </w:r>
    </w:p>
    <w:sectPr w:rsidR="003F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58" w:rsidRDefault="001B6558" w:rsidP="00250823">
      <w:r>
        <w:separator/>
      </w:r>
    </w:p>
  </w:endnote>
  <w:endnote w:type="continuationSeparator" w:id="0">
    <w:p w:rsidR="001B6558" w:rsidRDefault="001B6558" w:rsidP="002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58" w:rsidRDefault="001B6558" w:rsidP="00250823">
      <w:r>
        <w:separator/>
      </w:r>
    </w:p>
  </w:footnote>
  <w:footnote w:type="continuationSeparator" w:id="0">
    <w:p w:rsidR="001B6558" w:rsidRDefault="001B6558" w:rsidP="00250823">
      <w:r>
        <w:continuationSeparator/>
      </w:r>
    </w:p>
  </w:footnote>
  <w:footnote w:id="1">
    <w:p w:rsidR="00250823" w:rsidRDefault="00250823" w:rsidP="00250823">
      <w:pPr>
        <w:pStyle w:val="Textpoznpodarou"/>
      </w:pPr>
      <w:r>
        <w:rPr>
          <w:rStyle w:val="Znakypropoznmkupodarou"/>
        </w:rPr>
        <w:t>*</w:t>
      </w:r>
      <w:r>
        <w:tab/>
        <w:t>legenda k bodovému hodnocení: 4 = zcela adekvátně zpracováno; 3 = poměrně vhodně zpracováno; 2 = dostatečně zpracováno; 1 = pouze částečně splněno; 0 = neadekvátně zpracováno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3"/>
    <w:rsid w:val="00071F93"/>
    <w:rsid w:val="001B6558"/>
    <w:rsid w:val="00233117"/>
    <w:rsid w:val="00250823"/>
    <w:rsid w:val="003F0E1E"/>
    <w:rsid w:val="00835E2D"/>
    <w:rsid w:val="00881E54"/>
    <w:rsid w:val="00A857D9"/>
    <w:rsid w:val="00D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250823"/>
  </w:style>
  <w:style w:type="character" w:customStyle="1" w:styleId="Znakapoznpodarou1">
    <w:name w:val="Značka pozn. pod čarou1"/>
    <w:rsid w:val="00250823"/>
    <w:rPr>
      <w:vertAlign w:val="superscript"/>
    </w:rPr>
  </w:style>
  <w:style w:type="paragraph" w:customStyle="1" w:styleId="Obsahtabulky">
    <w:name w:val="Obsah tabulky"/>
    <w:basedOn w:val="Normln"/>
    <w:rsid w:val="00250823"/>
    <w:pPr>
      <w:suppressLineNumbers/>
    </w:pPr>
  </w:style>
  <w:style w:type="paragraph" w:styleId="Textpoznpodarou">
    <w:name w:val="footnote text"/>
    <w:basedOn w:val="Normln"/>
    <w:link w:val="TextpoznpodarouChar"/>
    <w:semiHidden/>
    <w:rsid w:val="00250823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50823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2508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82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250823"/>
  </w:style>
  <w:style w:type="character" w:customStyle="1" w:styleId="Znakapoznpodarou1">
    <w:name w:val="Značka pozn. pod čarou1"/>
    <w:rsid w:val="00250823"/>
    <w:rPr>
      <w:vertAlign w:val="superscript"/>
    </w:rPr>
  </w:style>
  <w:style w:type="paragraph" w:customStyle="1" w:styleId="Obsahtabulky">
    <w:name w:val="Obsah tabulky"/>
    <w:basedOn w:val="Normln"/>
    <w:rsid w:val="00250823"/>
    <w:pPr>
      <w:suppressLineNumbers/>
    </w:pPr>
  </w:style>
  <w:style w:type="paragraph" w:styleId="Textpoznpodarou">
    <w:name w:val="footnote text"/>
    <w:basedOn w:val="Normln"/>
    <w:link w:val="TextpoznpodarouChar"/>
    <w:semiHidden/>
    <w:rsid w:val="00250823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50823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2508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82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5</cp:revision>
  <dcterms:created xsi:type="dcterms:W3CDTF">2016-07-18T10:32:00Z</dcterms:created>
  <dcterms:modified xsi:type="dcterms:W3CDTF">2016-07-18T13:14:00Z</dcterms:modified>
</cp:coreProperties>
</file>